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HiKassGAufhG</w:t>
      </w:r>
    </w:p>
    <w:p>
      <w:r>
        <w:rPr>
          <w:color w:val="555555"/>
          <w:sz w:val="18"/>
        </w:rPr>
        <w:t xml:space="preserve">Gesetz betreffend die Aufhebung des Hilfskassengesetzes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 HiKassGAufhG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https://recht.nulegal.eu/gesetze/HiKassGAufhG/1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