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 HgFSNatSchV</w:t>
      </w:r>
    </w:p>
    <w:p>
      <w:r>
        <w:rPr>
          <w:color w:val="555555"/>
          <w:sz w:val="18"/>
        </w:rPr>
        <w:t xml:space="preserve">Verordnung über das Befahren des Naturschutzgebietes "Helgoländer Felssockel"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gilt nach § 14 des Dritten Überleitungsgesetzes in Verbindung mit § 58 des Bundeswasserstraßengesetzes auch im Land Berlin.</w:t>
      </w:r>
    </w:p>
    <w:p>
      <w:r>
        <w:rPr>
          <w:color w:val="555555"/>
          <w:sz w:val="17"/>
        </w:rPr>
        <w:t xml:space="preserve">Zitiervorschlag: § 5 HgFSNatSchV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https://recht.nulegal.eu/gesetze/HgFSNatSchV/5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