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HgFSNatSchV</w:t>
      </w:r>
    </w:p>
    <w:p>
      <w:r>
        <w:rPr>
          <w:color w:val="555555"/>
          <w:sz w:val="18"/>
        </w:rPr>
        <w:t xml:space="preserve">Verordnung über das Befahren des Naturschutzgebietes "Helgoländer Felssockel"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50 Abs. 1 Nr. 2 des Bundeswasserstraßengesetzes handelt, wer vorsätzlich oder fahrlässig entgegen</w:t>
      </w:r>
    </w:p>
    <w:p>
      <w:pPr>
        <w:ind w:left="420"/>
      </w:pPr>
      <w:r>
        <w:t xml:space="preserve">1. § 2 Abs. 1 Satz 1 ein dort bezeichnetes Gebiet befährt oder</w:t>
      </w:r>
    </w:p>
    <w:p>
      <w:pPr>
        <w:ind w:left="420"/>
      </w:pPr>
      <w:r>
        <w:t xml:space="preserve">2. § 2 Abs. 1 Satz 2 in einem dort bezeichneten Gebiet ankert.</w:t>
      </w:r>
    </w:p>
    <w:p>
      <w:r>
        <w:rPr>
          <w:color w:val="555555"/>
          <w:sz w:val="17"/>
        </w:rPr>
        <w:t xml:space="preserve">Zitiervorschlag: § 4 HgFSNatSchV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https://recht.nulegal.eu/gesetze/HgFSNatSchV/4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