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HgFSNatSchV</w:t>
      </w:r>
    </w:p>
    <w:p>
      <w:r>
        <w:rPr>
          <w:color w:val="555555"/>
          <w:sz w:val="18"/>
        </w:rPr>
        <w:t xml:space="preserve">Verordnung über das Befahren des Naturschutzgebietes "Helgoländer Felssockel"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Verbote nach § 2 gelten nicht für</w:t>
      </w:r>
    </w:p>
    <w:p>
      <w:pPr>
        <w:ind w:left="420"/>
      </w:pPr>
      <w:r>
        <w:t xml:space="preserve">1. Fahrzeuge der Wasserstraßen- und Schifffahrtsverwaltung des Bundes, der Fischereiaufsicht, der Wasserschutzpolizei, des Zolls, der Bundespolizei, der Bundeswehr sowie des Landesamts für Wasserhaushalt und Küsten und des Amtes für Land- und Wasserwirtschaft,</w:t>
      </w:r>
    </w:p>
    <w:p>
      <w:pPr>
        <w:ind w:left="420"/>
      </w:pPr>
      <w:r>
        <w:t xml:space="preserve">2. Fahrzeuge der Deutschen Gesellschaft zur Rettung Schiffbrüchiger im Einsatzfall,</w:t>
      </w:r>
    </w:p>
    <w:p>
      <w:pPr>
        <w:ind w:left="780"/>
      </w:pPr>
      <w:r>
        <w:t xml:space="preserve">a) Fahrzeuge zur Ausübung des ordnungsgemäßen Fischfangs mit stehendem Gerät durch Berufsfischer mit Hauptwohnung in Helgoland,</w:t>
      </w:r>
    </w:p>
    <w:p>
      <w:pPr>
        <w:ind w:left="780"/>
      </w:pPr>
      <w:r>
        <w:t xml:space="preserve">b) Fahrzeuge zur Ausübung des Fischfangs mit der Handangel durch Personen mit der Hauptwohnung in Helgoland,</w:t>
      </w:r>
    </w:p>
    <w:p>
      <w:pPr>
        <w:ind w:left="420"/>
      </w:pPr>
      <w:r>
        <w:t xml:space="preserve">4. Fahrzeuge zur ordnungsgemäßen Ausübung der Jagd,</w:t>
      </w:r>
    </w:p>
    <w:p>
      <w:pPr>
        <w:ind w:left="420"/>
      </w:pPr>
      <w:r>
        <w:t xml:space="preserve">5. Sportfahrzeuge mit ständigem Liegeplatz in Helgoland, sofern sie von Personen mit Hauptwohnung in Helgoland und nicht zu geschäftlichen oder gewerblichen Zwecken benutzt werden,</w:t>
      </w:r>
    </w:p>
    <w:p>
      <w:pPr>
        <w:ind w:left="420"/>
      </w:pPr>
      <w:r>
        <w:t xml:space="preserve">6. Fahrzeuge von Forschungsinstituten zu Forschungszwecken.</w:t>
      </w:r>
    </w:p>
    <w:p>
      <w:r>
        <w:rPr>
          <w:color w:val="555555"/>
          <w:sz w:val="17"/>
        </w:rPr>
        <w:t xml:space="preserve">Zitiervorschlag: § 3 HgFSNatSchV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https://recht.nulegal.eu/gesetze/HgFSNatSchV/3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