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HgFSNatSchV</w:t>
      </w:r>
    </w:p>
    <w:p>
      <w:r>
        <w:rPr>
          <w:color w:val="555555"/>
          <w:sz w:val="18"/>
        </w:rPr>
        <w:t xml:space="preserve">Verordnung über das Befahren des Naturschutzgebietes "Helgoländer Felssockel"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ist untersagt, das Gebiet der Nordsee um Helgoland innerhalb folgender Koordinaten zu befahren:</w:t>
      </w:r>
    </w:p>
    <w:p>
      <w:pPr>
        <w:ind w:left="420"/>
      </w:pPr>
      <w:r>
        <w:t xml:space="preserve">a) um die Insel Helgoland:54 Grad 09, 0' N; 7 Grad 53, 6' O,54 Grad 10, 6' N; 7 Grad 48, 2' O,54 Grad 13, 4' N; 7 Grad 49, 0' O,54 Grad 12, 2' N; 7 Grad 51, 8' O,54 Grad 11, 5' N; 7 Grad 53, 1' O,54 Grad 11, 4' N; 7 Grad 53, 1' O,54 Grad 10, 2' N; 7 Grad 53, 8' O,54 Grad 10, 1' N; 7 Grad 54, 3' O,</w:t>
      </w:r>
    </w:p>
    <w:p>
      <w:pPr>
        <w:ind w:left="420"/>
      </w:pPr>
      <w:r>
        <w:t xml:space="preserve">b) nördlich der Düne:54 Grad 11, 5' N; 7 Grad 53, 9' O,54 Grad 13, 4' N; 7 Grad 50, 6' O,54 Grad 14, 4' N; 7 Grad 49, 8' O,54 Grad 13, 5' N; 7 Grad 56, 0' O,54 Grad 11, 7' N; 7 Grad 55, 3' O.</w:t>
      </w:r>
    </w:p>
    <w:p>
      <w:r>
        <w:t xml:space="preserve">Es ist untersagt, in dem Gebiet um die Düne bei Helgoland innerhalb folgender Koordinaten zu ankern: 54 Grad 09, 5' N; 7 Grad 56, 0' O, 54 Grad 10, 5' N; 7 Grad 54, 5' O, 54 Grad 10, 9' N; 7 Grad 54, 6' O, 54 Grad 11, 2' N; 7 Grad 54, 1' O, 54 Grad 11, 4' N; 7 Grad 54, 0' O, 54 Grad 11, 5' N; 7 Grad 53, 9' O, 54 Grad 11, 7' N; 7 Grad 55, 3' O, 54 Grad 11, 5' N; 7 Grad 55, 2' O, 54 Grad 13, 5' N; 7 Grad 56, 0' O, 54 Grad 10, 9' N; 7 Grad 56, 2' O. Diese Gebiete sind in der als Anlage zu dieser Verordnung beigefügten Karte dargestellt.</w:t>
      </w:r>
    </w:p>
    <w:p>
      <w:r>
        <w:t xml:space="preserve">(2) Das vom Bundesministerium für Verkehr und digitale Infrastruktur im Verkehrsblatt oder Bundesanzeiger bekanntgemachte Wasserstraßen- und Schifffahrtsamt kann von den Verboten nach Absatz 1 allgemein oder im Einzelfall, zeitlich begrenzt oder auf Dauer Befreiungen gewähren, wenn</w:t>
      </w:r>
    </w:p>
    <w:p>
      <w:pPr>
        <w:ind w:left="420"/>
      </w:pPr>
      <w:r>
        <w:t xml:space="preserve">1. dafür ein unabweisbar wichtiger Grund besteht,</w:t>
      </w:r>
    </w:p>
    <w:p>
      <w:pPr>
        <w:ind w:left="420"/>
      </w:pPr>
      <w:r>
        <w:t xml:space="preserve">2. die Einhaltung der Verbote zu einer nicht beabsichtigten Härte führt oder</w:t>
      </w:r>
    </w:p>
    <w:p>
      <w:pPr>
        <w:ind w:left="420"/>
      </w:pPr>
      <w:r>
        <w:t xml:space="preserve">3. überwiegende Gründe des Wohls der Allgemeinheit die Befreiung erfordern.</w:t>
      </w:r>
    </w:p>
    <w:p>
      <w:r>
        <w:t xml:space="preserve">Eine Befreiung darf nach den Nummern 1 und 2 nur erteilt werden, wenn dies mit dem Schutzzweck der Verordnung vereinbar ist.</w:t>
      </w:r>
    </w:p>
    <w:p>
      <w:r>
        <w:rPr>
          <w:color w:val="555555"/>
          <w:sz w:val="17"/>
        </w:rPr>
        <w:t xml:space="preserve">Zitiervorschlag: § 2 HgFSNatSchV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https://recht.nulegal.eu/gesetze/HgFSNatSchV/2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