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HfreqBetrGen</w:t>
      </w:r>
    </w:p>
    <w:p>
      <w:r>
        <w:rPr>
          <w:color w:val="555555"/>
          <w:sz w:val="18"/>
        </w:rPr>
        <w:t xml:space="preserve">Allgemeine Genehmigung nach dem Gesetz über den Betrieb von Hochfrequenzgeräten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des Gesetzes über den Betrieb von Hochfrequenzgeräten vom 9. August 1949 (Gesetzblatt der Verwaltung des Vereinigten Wirtschaftsgebietes S. 235) wird bestimmt:</w:t>
      </w:r>
    </w:p>
    <w:p>
      <w:r>
        <w:rPr>
          <w:color w:val="555555"/>
          <w:sz w:val="17"/>
        </w:rPr>
        <w:t xml:space="preserve">Zitiervorschlag: Eingangsformel HfreqBetrGen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https://recht.nulegal.eu/gesetze/HfreqBetrGen/eingangsformel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