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HfreqBetrGen</w:t>
      </w:r>
    </w:p>
    <w:p>
      <w:r>
        <w:rPr>
          <w:color w:val="555555"/>
          <w:sz w:val="18"/>
        </w:rPr>
        <w:t xml:space="preserve">Allgemeine Genehmigung nach dem Gesetz über den Betrieb von Hochfrequenzgeräten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 Genehmigung wird unter folgenden Auflagen erteilt:</w:t>
      </w:r>
    </w:p>
    <w:p>
      <w:r>
        <w:t xml:space="preserve">(1) Nachstehende Funkstörungsgrenzwerte dürfen nicht überschritten werden:</w:t>
      </w:r>
    </w:p>
    <w:p>
      <w:pPr>
        <w:ind w:left="420"/>
      </w:pPr>
      <w:r>
        <w:t xml:space="preserve">1. Grenzwerte der Funkstörspannung</w:t>
      </w:r>
    </w:p>
    <w:p>
      <w:pPr>
        <w:ind w:left="780"/>
      </w:pPr>
      <w:r>
        <w:t xml:space="preserve">a) im Frequenzbereich von 10 kHz bis 150 kHz gelten die Werte, die sich durch geradliniges Extrapolieren der Grenzwertlinie des Funkstörgrads N (nach VDE 0875/8.66) von 200 kHz bis 150 kHz nach niederen Frequenzen hin ergeben.</w:t>
      </w:r>
    </w:p>
    <w:p>
      <w:pPr>
        <w:ind w:left="780"/>
      </w:pPr>
      <w:r>
        <w:t xml:space="preserve">b) im Frequenzbereich von 150 kHz bis 30.000 kHz gelten die Grenzwerte des "Funkstörgrads N" (nach VDE 0875/8.66).</w:t>
      </w:r>
    </w:p>
    <w:p>
      <w:pPr>
        <w:ind w:left="420"/>
      </w:pPr>
      <w:r>
        <w:t xml:space="preserve">2. Grenzwerte der StörfeldstärkeIm Frequenzbereich 30 MHz und mehr gelten in 10 Meter Meßentfernung vom Fahrzeug 40 Mikrovolt pro Meter.</w:t>
      </w:r>
    </w:p>
    <w:p>
      <w:r>
        <w:t xml:space="preserve">(2) Geräte der in § 1 genannten Art, welche die Auflagen unter Absatz 1 Nr. 1 und/oder Absatz 1 Nr. 2 nicht einhalten, sind fristgerecht außer Betrieb zu setzen, wenn die Deutsche Bundespost schriftlich hierzu auffordert.</w:t>
      </w:r>
    </w:p>
    <w:p>
      <w:r>
        <w:t xml:space="preserve">(3) Verursachen Geräte der in § 1 genannten Art Funkstörungen, so sind sie auf Aufforderung der Deutschen Bundespost außer Betrieb zu setzen.</w:t>
      </w:r>
    </w:p>
    <w:p>
      <w:r>
        <w:t xml:space="preserve">(4) Wird der Betrieb von Geräten der in § 1 genannten Art nach Absatz 2 oder Absatz 3 beanstandet, so dürfen diese erst wieder in Betrieb genommen werden, wenn nachgewiesen wurde, daß sie den vorstehend unter Absatz 1 Nr. 1 und 2 genannten Erfordernissen genügen.</w:t>
      </w:r>
    </w:p>
    <w:p>
      <w:r>
        <w:t xml:space="preserve">(5) Liegen Anhaltspunkte dafür vor, daß die Auflagen unter Absatz 1 Nr. 1 und 2 nicht eingehalten und/oder Funkstörungen verursacht werden, so ist den Beauftragten der Deutschen Bundespost in den verkehrsüblichen Zeiten Zutritt zu den Fahrzeugen oder Räumen zu gestatten, in denen sich Geräte der in § 1 genannten Art befinden.</w:t>
      </w:r>
    </w:p>
    <w:p>
      <w:r>
        <w:rPr>
          <w:color w:val="555555"/>
          <w:sz w:val="17"/>
        </w:rPr>
        <w:t xml:space="preserve">Zitiervorschlag: § 3 HfreqBetrGen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https://recht.nulegal.eu/gesetze/HfreqBetrGen/3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