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HföDG (Bayern) — Organe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Organe der HföD sind</w:t>
      </w:r>
    </w:p>
    <w:p>
      <w:r>
        <w:t xml:space="preserve">1. der Rat;</w:t>
      </w:r>
    </w:p>
    <w:p>
      <w:r>
        <w:t xml:space="preserve">2. der Präsident;</w:t>
      </w:r>
    </w:p>
    <w:p>
      <w:r>
        <w:t xml:space="preserve">3. die Fachbereichskonferenzen;</w:t>
      </w:r>
    </w:p>
    <w:p>
      <w:r>
        <w:t xml:space="preserve">4. die Fachbereichsleiter.</w:t>
      </w:r>
    </w:p>
    <w:p>
      <w:r>
        <w:t xml:space="preserve">(2) Der Rat und die Fachbereichskonferenzen können sich Geschäftsordnungen geben. Die Geschäftsordnung des Rats bedarf der Genehmigung des Staatsministeriums. Die Geschäftsordnungen der Fachbereichskonferenzen bedürfen jeweils der Genehmigung des nach Art. 2 Satz 3 zuständigen Staatsministeriums.</w:t>
      </w:r>
    </w:p>
    <w:p>
      <w:r>
        <w:t xml:space="preserve">(3) Art. 89 bis 93 des Bayerischen Verwaltungsverfahrensgesetzes gelten entsprechend, soweit Rechtsvorschriften nichts Abweichendes bestimmen. Das Nähere bestimmt die Satzung der HföD.</w:t>
      </w:r>
    </w:p>
    <w:p>
      <w:r>
        <w:rPr>
          <w:color w:val="555555"/>
          <w:sz w:val="17"/>
        </w:rPr>
        <w:t xml:space="preserve">Zitiervorschlag: Art 5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