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24 HföDG (Bayern) — Bildungseinrichtungen des Bundes</w:t>
      </w:r>
    </w:p>
    <w:p>
      <w:r>
        <w:rPr>
          <w:color w:val="555555"/>
          <w:sz w:val="18"/>
        </w:rPr>
        <w:t xml:space="preserve">HföD-Gesetz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Bildungseinrichtungen des Bundes auf der Ebene der Fachhochschulen, die ausschließlich der Ausbildung in den Fällen des § 17 Abs. 4 des Bundesbeamtengesetzes dienen, können auf Antrag durch das Staatsministerium für Wissenschaft und Kunst im Einvernehmen mit dem Staatsministerium Befugnisse staatlicher Hochschulen verliehen werden. Teil 3 des Bayerischen Hochschulinnovationsgesetzes (BayHIG) gilt entsprechend, soweit es mit der besonderen Struktur und Aufgabenstellung dieser Einrichtungen vereinbar ist; an die Stelle der Anforderungen des Art. 108 BayHIG treten die Anforderungen an vergleichbare staatliche Bildungseinrichtungen.</w:t>
      </w:r>
    </w:p>
    <w:p>
      <w:r>
        <w:rPr>
          <w:color w:val="555555"/>
          <w:sz w:val="17"/>
        </w:rPr>
        <w:t xml:space="preserve">Zitiervorschlag: Art 24 HföDG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https://recht.nulegal.eu/gesetze/Hf%C3%B6DG/24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