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19 HföDG (Bayern) — Masterstudiengänge, Verordnungsermächtigung</w:t>
      </w:r>
    </w:p>
    <w:p>
      <w:r>
        <w:rPr>
          <w:color w:val="555555"/>
          <w:sz w:val="18"/>
        </w:rPr>
        <w:t xml:space="preserve">HföD-Gesetz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Zur Erprobung können weiterbildende Studiengänge eingerichtet werden, die zu einem Mastergrad führen. Die Regelstudienzeit beträgt mindestens ein und höchstens zwei Jahre.</w:t>
      </w:r>
    </w:p>
    <w:p>
      <w:r>
        <w:t xml:space="preserve">(2) Die Einzelheiten des Verfahrens und die Mastergrade regelt die Staatsregierung durch Rechtsverordnung.</w:t>
      </w:r>
    </w:p>
    <w:p>
      <w:r>
        <w:rPr>
          <w:color w:val="555555"/>
          <w:sz w:val="17"/>
        </w:rPr>
        <w:t xml:space="preserve">Zitiervorschlag: Art 19 HföDG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https://recht.nulegal.eu/gesetze/Hf%C3%B6DG/19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