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16 HföDG (Bayern) — Vorbildungsvoraussetzungen</w:t>
      </w:r>
    </w:p>
    <w:p>
      <w:r>
        <w:rPr>
          <w:color w:val="555555"/>
          <w:sz w:val="18"/>
        </w:rPr>
        <w:t xml:space="preserve">HföD-Gesetz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Voraussetzung für das Studium an der HföD ist die Fachhochschulreife, eine andere Hochschulreife oder ein vom Staatsministerium für Unterricht und Kultus als gleichwertig anerkannter Bildungsstand.</w:t>
      </w:r>
    </w:p>
    <w:p>
      <w:r>
        <w:t xml:space="preserve">(2) Die laufbahnrechtlichen Bestimmungen für den Einstieg in der dritten Qualifikationsebene bleiben unberührt.</w:t>
      </w:r>
    </w:p>
    <w:p>
      <w:r>
        <w:rPr>
          <w:color w:val="555555"/>
          <w:sz w:val="17"/>
        </w:rPr>
        <w:t xml:space="preserve">Zitiervorschlag: Art 16 HföDG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https://recht.nulegal.eu/gesetze/Hf%C3%B6DG/16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16 HföDG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