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HföDG (Bayern) — Fachbereichsleiter</w:t>
      </w:r>
    </w:p>
    <w:p>
      <w:r>
        <w:rPr>
          <w:color w:val="555555"/>
          <w:sz w:val="18"/>
        </w:rPr>
        <w:t xml:space="preserve">HföD-Gesetz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Fachbereichsleiter und ihre Stellvertreter werden vom Staatsministerium im Einvernehmen mit dem nach Art. 2 Satz 3 für den jeweiligen Fachbereich zuständigen Staatsministerium bestellt. Voraussetzung für die Bestellung zum Fachbereichsleiter und zu dessen Stellvertreter sind einschlägige Erfahrungen in der Aus- und Fortbildung, die in der Regel durch haupt- oder nebenamtliche Lehraufträge nachgewiesen werden.</w:t>
      </w:r>
    </w:p>
    <w:p>
      <w:r>
        <w:t xml:space="preserve">(2) Der Fachbereichsleiter leitet und vertritt den Fachbereich.</w:t>
      </w:r>
    </w:p>
    <w:p>
      <w:r>
        <w:rPr>
          <w:color w:val="555555"/>
          <w:sz w:val="17"/>
        </w:rPr>
        <w:t xml:space="preserve">Zitiervorschlag: Art 12 HföDG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https://recht.nulegal.eu/gesetze/Hf%C3%B6DG/12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