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HeudG (Sachsen) — Erweiterung des Stadtrates in der Stadt Regis-Breitingen</w:t>
      </w:r>
    </w:p>
    <w:p>
      <w:r>
        <w:rPr>
          <w:color w:val="555555"/>
          <w:sz w:val="18"/>
        </w:rPr>
        <w:t xml:space="preserve">Heuersdorfgesetz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Gemeinderat der Gemeinde Heuersdorf wählt eine Person, die dem Stadtrat der Stadt Regis-Breitingen ab dem Zeitpunkt des Wirksamwerdens der Eingliederung bis zur nächsten regelmäßigen Wahl angehört. Die Zahl der Mitglieder des Stadtrates der Stadt Regis-Breitingen erhöht sich entsprechend.</w:t>
      </w:r>
    </w:p>
    <w:p>
      <w:r>
        <w:t xml:space="preserve">(2) Wählbar gemäß Absatz 1 Satz 1 sind die Mitglieder des Gemeinderates.</w:t>
      </w:r>
    </w:p>
    <w:p>
      <w:r>
        <w:t xml:space="preserve">(3) Für den Gewählten sind mindestens zwei Ersatzpersonen zu wählen, deren Reihenfolge festzulegen ist.</w:t>
      </w:r>
    </w:p>
    <w:p>
      <w:r>
        <w:rPr>
          <w:color w:val="555555"/>
          <w:sz w:val="17"/>
        </w:rPr>
        <w:t xml:space="preserve">Zitiervorschlag: § 9 HeudG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https://recht.nulegal.eu/gesetze/HeudG/9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