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HeudG (Sachsen) — In-Kraft-Treten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§§ 1, 4, 8 bis 10 und 12 bis 15 diese Gesetzes treten am Tage nach seiner Verkündung in Kraft. Im Übrigen tritt dieses Gesetz am 1. Oktober 2004 in Kraft.</w:t>
      </w:r>
    </w:p>
    <w:p>
      <w:r>
        <w:t xml:space="preserve">Das vorstehende Gesetz wird hiermit ausgefertigt und ist zu verkünden.</w:t>
      </w:r>
    </w:p>
    <w:p>
      <w:r>
        <w:t xml:space="preserve">Dresden, den 28. Mai 2004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für</w:t>
      </w:r>
    </w:p>
    <w:p>
      <w:r>
        <w:t xml:space="preserve">Wirtschaft und Arbeit</w:t>
      </w:r>
    </w:p>
    <w:p>
      <w:r>
        <w:t xml:space="preserve">Dr. Martin Gillo</w:t>
      </w:r>
    </w:p>
    <w:p>
      <w:r>
        <w:rPr>
          <w:color w:val="555555"/>
          <w:sz w:val="17"/>
        </w:rPr>
        <w:t xml:space="preserve">Zitiervorschlag: § 16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