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HeudG (Sachsen) — Stellenbewirtschaftung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Heuersdorf darf</w:t>
      </w:r>
    </w:p>
    <w:p>
      <w:r>
        <w:t xml:space="preserve">1. freie oder frei werdende Stellen nicht besetzen, ausgenommen sind Stellen, für deren Besetzung bereits eine schriftliche Einstellungszusage gegeben wurde,</w:t>
      </w:r>
    </w:p>
    <w:p>
      <w:r>
        <w:t xml:space="preserve">2. Höhergruppierungen von Angestellten und Arbeitern nur aufgrund eines entsprechenden rechtlichen Anspruchs durchführen.</w:t>
      </w:r>
    </w:p>
    <w:p>
      <w:r>
        <w:t xml:space="preserve">§ 12 Abs. 1 Satz 2 gilt entsprechend.</w:t>
      </w:r>
    </w:p>
    <w:p>
      <w:r>
        <w:rPr>
          <w:color w:val="555555"/>
          <w:sz w:val="17"/>
        </w:rPr>
        <w:t xml:space="preserve">Zitiervorschlag: § 13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