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HeudG (Sachsen) — Haushaltswirtschaft</w:t>
      </w:r>
    </w:p>
    <w:p>
      <w:r>
        <w:rPr>
          <w:color w:val="555555"/>
          <w:sz w:val="18"/>
        </w:rPr>
        <w:t xml:space="preserve">Heuersdorfgesetz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 Heuersdorf darf keine Maßnahmen treffen, die erhebliche finanzielle Verpflichtungen zur Folge haben, ihr Vermögen erheblich schmälern oder langfristig finanzwirksam sind. In dringenden Fällen kann die Rechtsaufsichtsbehörde Ausnahmen zulassen.</w:t>
      </w:r>
    </w:p>
    <w:p>
      <w:r>
        <w:t xml:space="preserve">(2) Die allgemeinen Bestimmungen über die Gemeindewirtschaft bleiben unberührt.</w:t>
      </w:r>
    </w:p>
    <w:p>
      <w:r>
        <w:rPr>
          <w:color w:val="555555"/>
          <w:sz w:val="17"/>
        </w:rPr>
        <w:t xml:space="preserve">Zitiervorschlag: § 12 HeudG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https://recht.nulegal.eu/gesetze/HeudG/12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