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HeudG (Sachsen) — Rechtsstellung der Bediensteten</w:t>
      </w:r>
    </w:p>
    <w:p>
      <w:r>
        <w:rPr>
          <w:color w:val="555555"/>
          <w:sz w:val="18"/>
        </w:rPr>
        <w:t xml:space="preserve">Heuersdorfgesetz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den Übertritt der Beamten und Versorgungsempfänger gelten die §§ 128 bis 132 des Rahmengesetzes zur Vereinheitlichung des Beamtenrechts ( Beamtenrechtsrahmengesetz – BRRG ) in der Fassung der Bekanntmachung vom 31. März 1999 (BGBl. I S. 654), das zuletzt durch Artikel 8 des Gesetzes vom 21. August 2002 (BGBl. I S. 3322, 3329) geändert worden ist, in der jeweils geltenden Fassung.</w:t>
      </w:r>
    </w:p>
    <w:p>
      <w:r>
        <w:t xml:space="preserve">(2) Die Angestellten, Arbeiter sowie die in einem Ausbildungsverhältnis stehenden Personen werden in entsprechender Anwendung von §§ 128 und 129 Abs. 2 bis 4 BRRG übergeleitet.</w:t>
      </w:r>
    </w:p>
    <w:p>
      <w:r>
        <w:t xml:space="preserve">(3) Soweit Bedienstete nach den Absätzen 1 und 2 übernommen werden, sind deren zurückgelegte Dienst- und Beschäftigungszeiten so zu behandeln, als ob sie bei der Stadt Regis-Breitingen verbracht worden wären.</w:t>
      </w:r>
    </w:p>
    <w:p>
      <w:r>
        <w:rPr>
          <w:color w:val="555555"/>
          <w:sz w:val="17"/>
        </w:rPr>
        <w:t xml:space="preserve">Zitiervorschlag: § 10 HeudG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https://recht.nulegal.eu/gesetze/HeudG/10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