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Herne (Nordrhein-Westfalen) — Umgliederung aus dem AG-Bezirk Gelsenkirchen in den AG-Bezirk Herne-Wanne</w:t>
      </w:r>
    </w:p>
    <w:p>
      <w:r>
        <w:rPr>
          <w:color w:val="555555"/>
          <w:sz w:val="18"/>
        </w:rPr>
        <w:t xml:space="preserve">Umgliederungs-VO Gelsenkirchen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Unter Abtrennung von dem Bezirk des Amtsgerichts Gelsenkirchen werden die Flurstücke Gemarkung Bismarck, Flur 3, Nrn. 19, 23, 24, 123, 320, 322 und 323 dem Bezirk des Amtsgerichts Herne-Wanne zugeteilt.</w:t>
      </w:r>
    </w:p>
    <w:p>
      <w:r>
        <w:rPr>
          <w:color w:val="555555"/>
          <w:sz w:val="17"/>
        </w:rPr>
        <w:t xml:space="preserve">Zitiervorschlag: § 1 Herne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https://recht.nulegal.eu/gesetze/Herne/1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