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HeizkostenV — Abrechnungs- und Verbrauchsinformationen; Informationen in der Abrechnung</w:t>
      </w:r>
    </w:p>
    <w:p>
      <w:r>
        <w:rPr>
          <w:color w:val="555555"/>
          <w:sz w:val="18"/>
        </w:rPr>
        <w:t xml:space="preserve">Verordnung über Heizkostenabrechnung</w:t>
      </w:r>
    </w:p>
    <w:p>
      <w:r>
        <w:rPr>
          <w:color w:val="555555"/>
          <w:sz w:val="18"/>
        </w:rPr>
        <w:t xml:space="preserve">Stand: 02.12.2021 (konsolidierte Textfassung, kein amtliches Inkrafttretensdatum)</w:t>
      </w:r>
    </w:p>
    <w:p>
      <w:r>
        <w:t xml:space="preserve">(1) Wenn fernablesbare Ausstattungen zur Verbrauchserfassung installiert wurden, hat der Gebäudeeigentümer den Nutzern Abrechnungs- oder Verbrauchsinformationen für Heizung und Warmwasser auf der Grundlage des tatsächlichen Verbrauchs oder der Ablesewerte von Heizkostenverteilern in folgenden Zeitabständen mitzuteilen:</w:t>
      </w:r>
    </w:p>
    <w:p>
      <w:pPr>
        <w:ind w:left="420"/>
      </w:pPr>
      <w:r>
        <w:t xml:space="preserve">1. für alle Abrechnungszeiträume, die ab dem 1. Dezember 2021 beginnen</w:t>
      </w:r>
    </w:p>
    <w:p>
      <w:pPr>
        <w:ind w:left="780"/>
      </w:pPr>
      <w:r>
        <w:t xml:space="preserve">a) auf Verlangen des Nutzers oder wenn der Gebäudeeigentümer sich gegenüber dem Versorgungsunternehmen für die Zustellung der Abrechnung auf elektronischem Wege entschieden hat, mindestens vierteljährlich und</w:t>
      </w:r>
    </w:p>
    <w:p>
      <w:pPr>
        <w:ind w:left="780"/>
      </w:pPr>
      <w:r>
        <w:t xml:space="preserve">b) ansonsten mindestens zweimal im Jahr,</w:t>
      </w:r>
    </w:p>
    <w:p>
      <w:pPr>
        <w:ind w:left="420"/>
      </w:pPr>
      <w:r>
        <w:t xml:space="preserve">2. ab dem 1. Januar 2022 monatlich.</w:t>
      </w:r>
    </w:p>
    <w:p>
      <w:r>
        <w:t xml:space="preserve">(2) Verbrauchsinformationen nach Absatz 1 Nummer 2 müssen mindestens folgende Informationen enthalten:</w:t>
      </w:r>
    </w:p>
    <w:p>
      <w:pPr>
        <w:ind w:left="420"/>
      </w:pPr>
      <w:r>
        <w:t xml:space="preserve">1. Verbrauch des Nutzers im letzten Monat in Kilowattstunden,</w:t>
      </w:r>
    </w:p>
    <w:p>
      <w:pPr>
        <w:ind w:left="420"/>
      </w:pPr>
      <w:r>
        <w:t xml:space="preserve">2. einen Vergleich dieses Verbrauchs mit dem Verbrauch des Vormonats desselben Nutzers sowie mit dem entsprechenden Monat des Vorjahres desselben Nutzers, soweit diese Daten erhoben worden sind, und</w:t>
      </w:r>
    </w:p>
    <w:p>
      <w:pPr>
        <w:ind w:left="420"/>
      </w:pPr>
      <w:r>
        <w:t xml:space="preserve">3. einen Vergleich mit dem Verbrauch eines normierten oder durch Vergleichstests ermittelten Durchschnittsnutzers derselben Nutzerkategorie.</w:t>
      </w:r>
    </w:p>
    <w:p>
      <w:r>
        <w:t xml:space="preserve">(3) Wenn die Abrechnungen auf dem tatsächlichen Verbrauch oder auf den Ablesewerten von Heizkostenverteilern beruhen, muss der Gebäudeeigentümer den Nutzern für Abrechnungszeiträume, die ab dem 1. Dezember 2021 beginnen, zusammen mit den Abrechnungen folgende Informationen zugänglich machen:</w:t>
      </w:r>
    </w:p>
    <w:p>
      <w:pPr>
        <w:ind w:left="420"/>
      </w:pPr>
      <w:r>
        <w:t xml:space="preserve">1. Informationen über</w:t>
      </w:r>
    </w:p>
    <w:p>
      <w:pPr>
        <w:ind w:left="780"/>
      </w:pPr>
      <w:r>
        <w:t xml:space="preserve">a) den Anteil der eingesetzten Energieträger und bei Nutzern, die mit Fernwärme aus Fernwärmesystemen versorgt werden, auch über die damit verbundenen jährlichen Treibhausgasemissionen und den Primärenergiefaktor des Fernwärmenetzes, bei Fernwärmesystemen mit einer thermischen Gesamtleistung unter 20 Megawatt jedoch erst ab dem 1. Januar 2022,</w:t>
      </w:r>
    </w:p>
    <w:p>
      <w:pPr>
        <w:ind w:left="780"/>
      </w:pPr>
      <w:r>
        <w:t xml:space="preserve">b) die erhobenen Steuern, Abgaben und Zölle,</w:t>
      </w:r>
    </w:p>
    <w:p>
      <w:pPr>
        <w:ind w:left="780"/>
      </w:pPr>
      <w:r>
        <w:t xml:space="preserve">c) die Entgelte für die Gebrauchsüberlassung und Verwendung der Ausstattungen zur Verbrauchserfassung, einschließlich der Eichung, sowie für die Ablesung und Abrechnung,</w:t>
      </w:r>
    </w:p>
    <w:p>
      <w:pPr>
        <w:ind w:left="420"/>
      </w:pPr>
      <w:r>
        <w:t xml:space="preserve">2. Kontaktinformationen, darunter Internetadressen von Verbraucherorganisationen, Energieagenturen oder ähnlichen Einrichtungen, bei denen Informationen über angebotene Maßnahmen zur Energieeffizienzverbesserung, Endnutzer-Vergleichsprofile und objektive technische Spezifikationen für energiebetriebene Geräte eingeholt werden können,</w:t>
      </w:r>
    </w:p>
    <w:p>
      <w:pPr>
        <w:ind w:left="420"/>
      </w:pPr>
      <w:r>
        <w:t xml:space="preserve">3. im Falle eines Verbrauchervertrags nach § 310 Absatz 3 des Bürgerlichen Gesetzbuches die Information über die Möglichkeit der Durchführung von Streitbeilegungsverfahren nach dem Verbraucherstreitbeilegungsgesetz, wobei die §§ 36 und 37 des Verbraucherstreitbeilegungsgesetzes unberührt bleiben,</w:t>
      </w:r>
    </w:p>
    <w:p>
      <w:pPr>
        <w:ind w:left="420"/>
      </w:pPr>
      <w:r>
        <w:t xml:space="preserve">4. Vergleiche mit dem Verbrauch eines normierten oder durch Vergleichstests ermittelten Durchschnittsnutzers derselben Nutzerkategorie, wobei im Fall elektronischer Abrechnungen ein solcher Vergleich online bereitgestellt und in der Abrechnung darauf verwiesen werden kann,</w:t>
      </w:r>
    </w:p>
    <w:p>
      <w:pPr>
        <w:ind w:left="420"/>
      </w:pPr>
      <w:r>
        <w:t xml:space="preserve">5. einen Vergleich des witterungsbereinigten Energieverbrauchs des jüngsten Abrechnungszeitraums des Nutzers mit seinem witterungsbereinigten Energieverbrauch im vorhergehenden Abrechnungszeitraum in grafischer Form.</w:t>
      </w:r>
    </w:p>
    <w:p>
      <w:r>
        <w:t xml:space="preserve">Der Energieverbrauch nach Satz 1 Nummer 5 umfasst den Wärmeverbrauch und den Warmwasserverbrauch. Dabei ist der Wärmeverbrauch einer Witterungsbereinigung unter Anwendung eines den anerkannten Regeln der Technik entsprechenden Verfahrens zu unterziehen. Die Einhaltung der anerkannten Regeln der Technik wird vermutet, soweit für den Vergleich der witterungsbereinigten Energieverbräuche Vereinfachungen verwendet werden, die vom Bundesministerium für Wirtschaft und Energie und vom Bundesministerium des Innern, für Bau und Heimat gemeinsam im Bundesanzeiger bekannt gemacht worden sind.</w:t>
      </w:r>
    </w:p>
    <w:p>
      <w:r>
        <w:t xml:space="preserve">(4) Die Pflichten gemäß § 556 Absatz 3 des Bürgerlichen Gesetzbuches bleiben unberührt.</w:t>
      </w:r>
    </w:p>
    <w:p>
      <w:r>
        <w:t xml:space="preserve">(5) Abrechnungen, die nicht auf dem tatsächlichen Verbrauch oder auf den Ablesewerten von Heizkostenverteilern beruhen, müssen mindestens die Informationen gemäß Absatz 3 Satz 1 Nummer 2 und 3 enthalten.</w:t>
      </w:r>
    </w:p>
    <w:p>
      <w:r>
        <w:rPr>
          <w:color w:val="555555"/>
          <w:sz w:val="17"/>
        </w:rPr>
        <w:t xml:space="preserve">Zitiervorschlag: § 6a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