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HeizkostenV — Vorrang vor rechtsgeschäftlichen Bestimmungen</w:t>
      </w:r>
    </w:p>
    <w:p>
      <w:r>
        <w:rPr>
          <w:color w:val="555555"/>
          <w:sz w:val="18"/>
        </w:rPr>
        <w:t xml:space="preserve">Verordnung über Heizkostenabrechnung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Außer bei Gebäuden mit nicht mehr als zwei Wohnungen, von denen eine der Vermieter selbst bewohnt, gehen die Vorschriften dieser Verordnung rechtsgeschäftlichen Bestimmungen vor.</w:t>
      </w:r>
    </w:p>
    <w:p>
      <w:r>
        <w:rPr>
          <w:color w:val="555555"/>
          <w:sz w:val="17"/>
        </w:rPr>
        <w:t xml:space="preserve">Zitiervorschlag: § 2 HeizkostenV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https://recht.nulegal.eu/gesetze/HeizkostenV/2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