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HeizkostenV — Kürzungsrecht, Übergangsregelung</w:t>
      </w:r>
    </w:p>
    <w:p>
      <w:r>
        <w:rPr>
          <w:color w:val="555555"/>
          <w:sz w:val="18"/>
        </w:rPr>
        <w:t xml:space="preserve">Verordnung über Heizkostenabrechnung</w:t>
      </w:r>
    </w:p>
    <w:p>
      <w:r>
        <w:rPr>
          <w:color w:val="555555"/>
          <w:sz w:val="18"/>
        </w:rPr>
        <w:t xml:space="preserve">Stand: 01.10.2024 (konsolidierte Textfassung, kein amtliches Inkrafttretensdatum)</w:t>
      </w:r>
    </w:p>
    <w:p>
      <w:r>
        <w:t xml:space="preserve">(1) Soweit die Kosten der Versorgung mit Wärme oder Warmwasser entgegen den Vorschriften dieser Verordnung nicht verbrauchsabhängig abgerechnet werden, hat der Nutzer das Recht, bei der nicht verbrauchsabhängigen Abrechnung der Kosten den auf ihn entfallenden Anteil um 15 vom Hundert zu kürzen. Wenn der Gebäudeeigentümer entgegen § 5 Absatz 2 oder Absatz 3 keine fernablesbare Ausstattung zur Verbrauchserfassung installiert hat, hat der Nutzer das Recht, bei der Abrechnung der Kosten den auf ihn entfallenden Anteil um 3 vom Hundert zu kürzen. Dasselbe ist anzuwenden, wenn der Gebäudeeigentümer die Informationen nach § 6a nicht oder nicht vollständig mitteilt. Die Sätze 1 bis 3 sind nicht anzuwenden beim Wohnungseigentum im Verhältnis des einzelnen Wohnungseigentümers zur Gemeinschaft der Wohnungseigentümer; insoweit verbleibt es bei den allgemeinen Vorschriften.</w:t>
      </w:r>
    </w:p>
    <w:p>
      <w:r>
        <w:t xml:space="preserve">(2) Wird in den Fällen des § 1 Absatz 3 der Wärmeverbrauch der einzelnen Nutzer am 30. September 1989 mit Einrichtungen zur Messung der Wassermenge ermittelt, gilt die Anforderung des § 5 Absatz 1 Satz 1 als erfüllt.</w:t>
      </w:r>
    </w:p>
    <w:p>
      <w:r>
        <w:t xml:space="preserve">(3) Wenn der anteilige Verbrauch der Nutzer an Wärme oder Warmwasser aus Wärmepumpen am 1. Oktober 2024 noch nicht erfasst wird, hat der Gebäudeeigentümer bis zum Ablauf des 30. September 2025 eine Ausstattung zur Verbrauchserfassung zu installieren. In den Fällen des Satzes 1 sind die Vorschriften dieser Verordnung für den Abrechnungszeitraum, der nach der Installation beginnt, erstmalig anzuwenden. Der Eigentümer eines vermieteten Gebäudes, in dem mindestens ein Mieter eine Bruttowarmmiete entrichtet, hat vor Beginn des ersten Abrechnungszeitraums nach dem 30. September 2025 Folgendes zu bestimmen:</w:t>
      </w:r>
    </w:p>
    <w:p>
      <w:pPr>
        <w:ind w:left="420"/>
      </w:pPr>
      <w:r>
        <w:t xml:space="preserve">1. den Durchschnittswert der in den Jahren 2022, 2023 und 2024 jährlich angefallenen Kosten der Versorgung mit Wärme und Warmwasser sowie</w:t>
      </w:r>
    </w:p>
    <w:p>
      <w:pPr>
        <w:ind w:left="420"/>
      </w:pPr>
      <w:r>
        <w:t xml:space="preserve">2. den Anteil der einzelnen Nutzeinheiten an dem ermittelten Durchschnittswert entsprechend ihrer Wohn- oder Nutzfläche.</w:t>
      </w:r>
    </w:p>
    <w:p>
      <w:r>
        <w:rPr>
          <w:color w:val="555555"/>
          <w:sz w:val="17"/>
        </w:rPr>
        <w:t xml:space="preserve">Zitiervorschlag: § 12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