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HeizkostenV — Ausnahmen</w:t>
      </w:r>
    </w:p>
    <w:p>
      <w:r>
        <w:rPr>
          <w:color w:val="555555"/>
          <w:sz w:val="18"/>
        </w:rPr>
        <w:t xml:space="preserve">Verordnung über Heizkostenabrechnung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Soweit sich die §§ 3 bis 7 auf die Versorgung mit Wärme beziehen, sind sie nicht anzuwenden</w:t>
      </w:r>
    </w:p>
    <w:p>
      <w:pPr>
        <w:ind w:left="420"/>
      </w:pPr>
      <w:r>
        <w:t xml:space="preserve">1. auf Räume,</w:t>
      </w:r>
    </w:p>
    <w:p>
      <w:pPr>
        <w:ind w:left="780"/>
      </w:pPr>
      <w:r>
        <w:t xml:space="preserve">a) in Gebäuden, die einen Heizwärmebedarf von weniger als 15 kWh/(m2 · a) aufweisen,</w:t>
      </w:r>
    </w:p>
    <w:p>
      <w:pPr>
        <w:ind w:left="780"/>
      </w:pPr>
      <w:r>
        <w:t xml:space="preserve">b) bei denen das Anbringen der Ausstattung zur Verbrauchserfassung, die Erfassung des Wärmeverbrauchs oder die Verteilung der Kosten des Wärmeverbrauchs nicht oder nur mit unverhältnismäßig hohen Kosten möglich ist; unverhältnismäßig hohe Kosten liegen vor, wenn diese nicht durch die Einsparungen, die in der Regel innerhalb von zehn Jahren erzielt werden können, erwirtschaftet werden können; oder</w:t>
      </w:r>
    </w:p>
    <w:p>
      <w:pPr>
        <w:ind w:left="780"/>
      </w:pPr>
      <w:r>
        <w:t xml:space="preserve">c) die vor dem 1. Juli 1981 bezugsfertig geworden sind und in denen der Nutzer den Wärmeverbrauch nicht beeinflussen kann;</w:t>
      </w:r>
    </w:p>
    <w:p>
      <w:pPr>
        <w:ind w:left="780"/>
      </w:pPr>
      <w:r>
        <w:t xml:space="preserve">a) auf Alters- und Pflegeheime, Studenten- und Lehrlingsheime,</w:t>
      </w:r>
    </w:p>
    <w:p>
      <w:pPr>
        <w:ind w:left="780"/>
      </w:pPr>
      <w:r>
        <w:t xml:space="preserve">b) auf vergleichbare Gebäude oder Gebäudeteile, deren Nutzung Personengruppen vorbehalten ist, mit denen wegen ihrer besonderen persönlichen Verhältnisse regelmäßig keine üblichen Mietverträge abgeschlossen werden;</w:t>
      </w:r>
    </w:p>
    <w:p>
      <w:pPr>
        <w:ind w:left="420"/>
      </w:pPr>
      <w:r>
        <w:t xml:space="preserve">3. auf Räume in Gebäuden, die überwiegend versorgt werden</w:t>
      </w:r>
    </w:p>
    <w:p>
      <w:pPr>
        <w:ind w:left="780"/>
      </w:pPr>
      <w:r>
        <w:t xml:space="preserve">a) mit Wärme aus Anlagen zur Rückgewinnung von Wärme oder aus Solaranlagen oder</w:t>
      </w:r>
    </w:p>
    <w:p>
      <w:pPr>
        <w:ind w:left="780"/>
      </w:pPr>
      <w:r>
        <w:t xml:space="preserve">b) mit Wärme aus Anlagen der Kraft-Wärme-Kopplung oder aus Anlagen zur Verwertung von Abwärme, sofern der Wärmeverbrauch des Gebäudes nicht erfasst wird;</w:t>
      </w:r>
    </w:p>
    <w:p>
      <w:pPr>
        <w:ind w:left="420"/>
      </w:pPr>
      <w:r>
        <w:t xml:space="preserve">4. auf die Kosten des Betriebs der zugehörigen Hausanlagen, soweit diese Kosten in den Fällen des § 1 Absatz 3 nicht in den Kosten der Wärmelieferung enthalten sind, sondern vom Gebäudeeigentümer gesondert abgerechnet werden;</w:t>
      </w:r>
    </w:p>
    <w:p>
      <w:pPr>
        <w:ind w:left="420"/>
      </w:pPr>
      <w:r>
        <w:t xml:space="preserve">5. in sonstigen Einzelfällen, in denen die nach Landesrecht zuständige Stelle wegen besonderer Umstände von den Anforderungen dieser Verordnung befreit hat, um einen unangemessenen Aufwand oder sonstige unbillige Härten zu vermeiden.</w:t>
      </w:r>
    </w:p>
    <w:p>
      <w:r>
        <w:t xml:space="preserve">(2) Soweit sich die §§ 3 bis 6 und § 8 auf die Versorgung mit Warmwasser beziehen, gilt Absatz 1 entsprechend.</w:t>
      </w:r>
    </w:p>
    <w:p>
      <w:r>
        <w:rPr>
          <w:color w:val="555555"/>
          <w:sz w:val="17"/>
        </w:rPr>
        <w:t xml:space="preserve">Zitiervorschlag: § 11 HeizkostenV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https://recht.nulegal.eu/gesetze/HeizkostenV/11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