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HeizkostZV (Brandenburg)</w:t>
      </w:r>
    </w:p>
    <w:p>
      <w:r>
        <w:rPr>
          <w:color w:val="555555"/>
          <w:sz w:val="18"/>
        </w:rPr>
        <w:t xml:space="preserve">Heizkostenzuständigkeitsverordnung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Stelle nach § 11 Abs. 1 Nr. 3 und Nr.</w:t>
      </w:r>
    </w:p>
    <w:p>
      <w:r>
        <w:t xml:space="preserve">5 und § 11 Abs. 2 der Verordnung über Heizkostenabrechnung in der</w:t>
      </w:r>
    </w:p>
    <w:p>
      <w:r>
        <w:t xml:space="preserve">Fassung der Bekanntmachung vom 20. Januar 1989(BGBl. I S. 115) ist das</w:t>
      </w:r>
    </w:p>
    <w:p>
      <w:r>
        <w:t xml:space="preserve">Ministerium für Wirtschaft, Mittelstand und Technologie.</w:t>
      </w:r>
    </w:p>
    <w:p>
      <w:r>
        <w:t xml:space="preserve">(2) Entscheidungen, die sich auf Räume zum Wohnen</w:t>
      </w:r>
    </w:p>
    <w:p>
      <w:r>
        <w:t xml:space="preserve">beziehen, trifft das Ministerium für Wirtschaft, Mittelstand und</w:t>
      </w:r>
    </w:p>
    <w:p>
      <w:r>
        <w:t xml:space="preserve">Technologie im Einvernehmen mit dem Ministerium für Stadtentwicklung,</w:t>
      </w:r>
    </w:p>
    <w:p>
      <w:r>
        <w:t xml:space="preserve">Wohnen und Verkehr.</w:t>
      </w:r>
    </w:p>
    <w:p>
      <w:r>
        <w:rPr>
          <w:color w:val="555555"/>
          <w:sz w:val="17"/>
        </w:rPr>
        <w:t xml:space="preserve">Zitiervorschlag: § 2 HeizkostZV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https://recht.nulegal.eu/gesetze/HeizkostZV/2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