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HeizkZuschG — Entsprechend anzuwendende Vorschriften</w:t>
      </w:r>
    </w:p>
    <w:p>
      <w:r>
        <w:rPr>
          <w:color w:val="555555"/>
          <w:sz w:val="18"/>
        </w:rPr>
        <w:t xml:space="preserve">Heizkostenzuschussgesetz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Die Vorschriften des Ersten und des Zehnten Buches Sozialgesetzbuch gelten entsprechend, soweit dieses Gesetz keine abweichende Regelung trifft.</w:t>
      </w:r>
    </w:p>
    <w:p>
      <w:r>
        <w:rPr>
          <w:color w:val="555555"/>
          <w:sz w:val="17"/>
        </w:rPr>
        <w:t xml:space="preserve">Zitiervorschlag: § 7 HeizkZuschG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https://recht.nulegal.eu/gesetze/HeizkZuschG/7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