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HeizkZuschG — Verzicht auf Rückforderung des Heizkostenzuschusses</w:t>
      </w:r>
    </w:p>
    <w:p>
      <w:r>
        <w:rPr>
          <w:color w:val="555555"/>
          <w:sz w:val="18"/>
        </w:rPr>
        <w:t xml:space="preserve">Heizkostenzuschussgesetz</w:t>
      </w:r>
    </w:p>
    <w:p>
      <w:r>
        <w:rPr>
          <w:color w:val="555555"/>
          <w:sz w:val="18"/>
        </w:rPr>
        <w:t xml:space="preserve">Stand: 16.11.2022 (konsolidierte Textfassung, kein amtliches Inkrafttretensdatum)</w:t>
      </w:r>
    </w:p>
    <w:p>
      <w:r>
        <w:t xml:space="preserve">(1) Im Fall der Aufhebung oder Unwirksamkeit des Verwaltungsakts, mit dem Wohngeld, Leistungen nach dem Bundesausbildungsförderungsgesetz, der Unterhaltsbeitrag nach dem Aufstiegsfortbildungsförderungsgesetz oder Berufsausbildungsbeihilfe oder Ausbildungsgeld nach dem Dritten Buch Sozialgesetzbuch bewilligt wurde oder wurden, erfolgen keine Aufhebung der Bewilligung und keine Rückforderung des ersten und zweiten Heizkostenzuschusses.</w:t>
      </w:r>
    </w:p>
    <w:p>
      <w:r>
        <w:t xml:space="preserve">(2) Folgt auf die Aufhebung oder Unwirksamkeit des Wohngeldbescheides eine Neuentscheidung über Wohngeld, ist über die Leistung des ersten und zweiten Heizkostenzuschusses nicht neu zu entscheiden. Satz 1 gilt entsprechend für die Aufhebung oder Unwirksamkeit eines Bescheides über Leistungen nach dem Bundesausbildungsförderungsgesetz, über einen Unterhaltsbeitrag nach dem Aufstiegsfortbildungsförderungsgesetz und über Berufsausbildungsbeihilfe oder Ausbildungsgeld nach dem Dritten Buch Sozialgesetzbuch.</w:t>
      </w:r>
    </w:p>
    <w:p>
      <w:r>
        <w:rPr>
          <w:color w:val="555555"/>
          <w:sz w:val="17"/>
        </w:rPr>
        <w:t xml:space="preserve">Zitiervorschlag: § 4 HeizkZuschG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https://recht.nulegal.eu/gesetze/HeizkZuschG/4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