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HeizkZG — Zweck des Gesetzes</w:t>
      </w:r>
    </w:p>
    <w:p>
      <w:r>
        <w:rPr>
          <w:color w:val="555555"/>
          <w:sz w:val="18"/>
        </w:rPr>
        <w:t xml:space="preserve">Gesetz zur Gewährung eines einmaligen Heizkostenzuschusses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Milderung von Härten, die durch den Anstieg der Energiepreise entstanden sind oder entstehen werden, wird für die Heizperiode 2000/2001 ein einmaliger Heizkostenzuschuss (Zuschuss) nach Maßgabe dieses Gesetzes gewährt.</w:t>
      </w:r>
    </w:p>
    <w:p>
      <w:r>
        <w:rPr>
          <w:color w:val="555555"/>
          <w:sz w:val="17"/>
        </w:rPr>
        <w:t xml:space="preserve">Zitiervorschlag: § 1 HeizkZG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