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HeizölLBV</w:t>
      </w:r>
    </w:p>
    <w:p>
      <w:r>
        <w:rPr>
          <w:color w:val="555555"/>
          <w:sz w:val="18"/>
        </w:rPr>
        <w:t xml:space="preserve">Heizöl-Lieferbeschränkungs-Verordnung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Abs. 1 und 3 und des § 2 Abs. 1 und 3 in Verbindung mit § 3 Abs. 1 und 3 des Energiesicherungsgesetzes 1975 vom 20. Dezember 1974 (BGBl. I S. 3681), das durch Gesetz vom 19. Dezember 1979 (BGBl. I S. 2305) zuletzt geändert worden ist, verordnet die Bundesregierung mit Zustimmung des Bundesrates:</w:t>
      </w:r>
    </w:p>
    <w:p>
      <w:r>
        <w:rPr>
          <w:color w:val="555555"/>
          <w:sz w:val="17"/>
        </w:rPr>
        <w:t xml:space="preserve">Zitiervorschlag: Eingangsformel HeizölLBV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https://recht.nulegal.eu/gesetze/Heiz%C3%B6lLBV/eingangsformel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