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HeizölLBV — Anordnung der Belieferung von Abnehmern</w:t>
      </w:r>
    </w:p>
    <w:p>
      <w:r>
        <w:rPr>
          <w:color w:val="555555"/>
          <w:sz w:val="18"/>
        </w:rPr>
        <w:t xml:space="preserve">Heizöl-Lieferbeschränkungs-Verordnung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zuständigen Stellen können gegenüber Heizölhändlern, die ihre Lieferpflicht nach § 8 verletzen, auf Antrag anordnen, ihrer Lieferpflicht nachzukommen.</w:t>
      </w:r>
    </w:p>
    <w:p>
      <w:r>
        <w:rPr>
          <w:color w:val="555555"/>
          <w:sz w:val="17"/>
        </w:rPr>
        <w:t xml:space="preserve">Zitiervorschlag: § 9 HeizölLBV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https://recht.nulegal.eu/gesetze/Heiz%C3%B6lLBV/9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