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HeizölLBV — Inkrafttreten und Anwendung dieser Verordnung, Übergangsregelung</w:t>
      </w:r>
    </w:p>
    <w:p>
      <w:r>
        <w:rPr>
          <w:color w:val="555555"/>
          <w:sz w:val="18"/>
        </w:rPr>
        <w:t xml:space="preserve">Heizöl-Lieferbeschränkungs-Verordnung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mit Ausnahme der §§ 16 und 17 am Tage nach der Verkündung in Kraft. Die §§ 16 und 17 treten am 1. September 1982 in Kraft.</w:t>
      </w:r>
    </w:p>
    <w:p>
      <w:r>
        <w:t xml:space="preserve">(2) Voraussetzung für die Anwendung dieser Verordnung mit Ausnahme der §§ 16 und 17 ist</w:t>
      </w:r>
    </w:p>
    <w:p>
      <w:pPr>
        <w:ind w:left="420"/>
      </w:pPr>
      <w:r>
        <w:t xml:space="preserve">1. die Feststellung der Bundesregierung, daß die Energieversorgung im Sinne des § 1 Abs. 1 oder § 2 Abs. 3 des Energiesicherungsgesetzes 1975 gefährdet oder gestört ist,</w:t>
      </w:r>
    </w:p>
    <w:p>
      <w:pPr>
        <w:ind w:left="420"/>
      </w:pPr>
      <w:r>
        <w:t xml:space="preserve">2. der Erlaß einer Verordnung nach dem Energiesicherungsgesetz 1975, die diese Verordnung ergänzt.</w:t>
      </w:r>
    </w:p>
    <w:p>
      <w:r>
        <w:t xml:space="preserve">(3) Beginnt die Referenzzeit vor dem 1. Mai 1983, so beträgt sie abweichend von § 4 Abs. 2 24 Monate. Die Referenzmenge beträgt in diesem Fall abweichend von § 4 Abs. 1 Satz 2 die Hälfte der Menge, die in der Referenzzeit für die Heizölverbrauchsanlage des Abnehmers bezogen worden ist. Soweit in anderen Vorschriften auf § 4 Abs. 1 Satz 2 und Abs. 2 verwiesen wird, treten an die Stelle dieser Vorschriften bis zum 1. Mai 1983 die Sätze 1 und 2.</w:t>
      </w:r>
    </w:p>
    <w:p>
      <w:r>
        <w:rPr>
          <w:color w:val="555555"/>
          <w:sz w:val="17"/>
        </w:rPr>
        <w:t xml:space="preserve">Zitiervorschlag: § 20 HeizölLBV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https://recht.nulegal.eu/gesetze/Heiz%C3%B6lLBV/20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