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HeizölLBV — Anordnung der Ausstellung einer Bescheinigung nach § 12</w:t>
      </w:r>
    </w:p>
    <w:p>
      <w:r>
        <w:rPr>
          <w:color w:val="555555"/>
          <w:sz w:val="18"/>
        </w:rPr>
        <w:t xml:space="preserve">Heizöl-Lieferbeschränkungs-Verordnung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zuständigen Stellen können gegenüber Heizölhändlern, die ihre Pflicht nach § 12 Abs. 1 Satz 1 verletzen, auf Antrag anordnen, ihrer Pflicht zur Ausstellung von Bescheinigungen nachzukommen.</w:t>
      </w:r>
    </w:p>
    <w:p>
      <w:r>
        <w:rPr>
          <w:color w:val="555555"/>
          <w:sz w:val="17"/>
        </w:rPr>
        <w:t xml:space="preserve">Zitiervorschlag: § 13 HeizölLBV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https://recht.nulegal.eu/gesetze/Heiz%C3%B6lLBV/13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