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HeimsicherungsV — Getrennte Verwaltung</w:t>
      </w:r>
    </w:p>
    <w:p>
      <w:r>
        <w:rPr>
          <w:color w:val="555555"/>
          <w:sz w:val="18"/>
        </w:rPr>
        <w:t xml:space="preserve">Verordnung über die Pflichten der Träger von Altenheimen, Altenwohnheimen und Pflegeheimen für Volljährige im Falle der Entgegennahme von Leistungen zum Zweck der Unterbringung eines Bewohners oder Bewerbers</w:t>
      </w:r>
    </w:p>
    <w:p>
      <w:r>
        <w:rPr>
          <w:color w:val="555555"/>
          <w:sz w:val="18"/>
        </w:rPr>
        <w:t xml:space="preserve">Stand: 10.06.2019 (konsolidierte Textfassung, kein amtliches Inkrafttretensdatum)</w:t>
      </w:r>
    </w:p>
    <w:p>
      <w:r>
        <w:t xml:space="preserve">(1) Der Träger hat die ihm gewährten Leistungen im Sinne des § 1 bis zu ihrer bestimmungsmäßigen Verwendung getrennt von seinem Vermögen durch die Einrichtung eines Sonderkontos für Rechnung der einzelnen Bewerber oder Bewohner bei einem Kreditinstitut zu verwalten. Hierbei sind Name und Anschrift des Bewerbers oder des Bewohners anzugeben. Das Kreditinstitut muß eine Erlaubnis zum Geschäftsbetrieb nach dem Gesetz über das Kreditwesen in der Fassung der Bekanntmachung vom 3. Mai 1976 (BGBl. I S. 1121), geändert durch Artikel 72 des Einführungsgesetzes zur Abgabenordnung vom 14. Dezember 1976 (BGBl. I S. 3341), besitzen.</w:t>
      </w:r>
    </w:p>
    <w:p>
      <w:r>
        <w:t xml:space="preserve">(2) Der Träger hat das Kreditinstitut zu verpflichten, den Bewohner oder Bewerber unverzüglich zu benachrichtigen, wenn die Einlage von dritter Seite gepfändet oder das Konkursverfahren oder das Vergleichsverfahren zur Abwendung des Konkurses über das Vermögen des Trägers eröffnet wird. Er hat das Kreditinstitut ferner zu verpflichten, dem Bewohner oder Bewerber jederzeit Auskunft über den Stand seines Kontos zu erteilen.</w:t>
      </w:r>
    </w:p>
    <w:p>
      <w:r>
        <w:t xml:space="preserve">(3) Die Absätze 1 und 2 gelten entsprechend für alle vom Träger an den Bewerber oder Bewohner entrichteten Zinsen.</w:t>
      </w:r>
    </w:p>
    <w:p>
      <w:r>
        <w:t xml:space="preserve">(4) Die Absätze 1 bis 3 gelten nicht, wenn Bürgschaften nach § 12 Abs. 2 geleistet worden sind.</w:t>
      </w:r>
    </w:p>
    <w:p>
      <w:r>
        <w:rPr>
          <w:color w:val="555555"/>
          <w:sz w:val="17"/>
        </w:rPr>
        <w:t xml:space="preserve">Zitiervorschlag: § 8 HeimsicherungsV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https://recht.nulegal.eu/gesetze/HeimsicherungsV/8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