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HeimsicherungsV — Anzeige- und Informationspflicht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Läßt sich der Träger einer Einrichtung Leistungen im Sinne des § 1 versprechen oder nimmt er solche Leistungen entgegen, so hat er dies der zuständigen Behörde unverzüglich anzuzeigen.</w:t>
      </w:r>
    </w:p>
    <w:p>
      <w:r>
        <w:t xml:space="preserve">(2) Der Träger einer Einrichtung hat den Vertragspartner rechtzeitig und schriftlich vor Abschluß eines Vertrages über Leistungen im Sinne des § 1 über die sich aus diesem Vertrag ergebenden Rechte und Pflichten, insbesondere über die Sicherung der Rückzahlungsansprüche, zu informieren.</w:t>
      </w:r>
    </w:p>
    <w:p>
      <w:r>
        <w:rPr>
          <w:color w:val="555555"/>
          <w:sz w:val="17"/>
        </w:rPr>
        <w:t xml:space="preserve">Zitiervorschlag: § 5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