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HeimsicherungsV — Übergangsvorschriften und Befreiungen</w:t>
      </w:r>
    </w:p>
    <w:p>
      <w:r>
        <w:rPr>
          <w:color w:val="555555"/>
          <w:sz w:val="18"/>
        </w:rPr>
        <w:t xml:space="preserve">Verordnung über die Pflichten der Träger von Altenheimen, Altenwohnheimen und Pflegeheimen für Volljährige im Falle der Entgegennahme von Leistungen zum Zweck der Unterbringung eines Bewohners oder Bewerbers</w:t>
      </w:r>
    </w:p>
    <w:p>
      <w:r>
        <w:rPr>
          <w:color w:val="555555"/>
          <w:sz w:val="18"/>
        </w:rPr>
        <w:t xml:space="preserve">Stand: 10.06.2019 (konsolidierte Textfassung, kein amtliches Inkrafttretensdatum)</w:t>
      </w:r>
    </w:p>
    <w:p>
      <w:r>
        <w:t xml:space="preserve">(1) Die Vorschriften der Verordnung finden keine Anwendung auf Leistungen im Sinne des § 1, die vor Inkrafttreten der Verordnung versprochen oder erbracht worden sind.</w:t>
      </w:r>
    </w:p>
    <w:p>
      <w:r>
        <w:t xml:space="preserve">(2) Die zuständige Behörde kann den Träger einer Einrichtung von den in § 10 Abs. 2 und § 11 der Verordnung festgelegten Pflichten ganz oder teilweise befreien, wenn deren Erfüllung eine im Zeitpunkt des Inkrafttretens dieser Verordnung bereits bestehende Einrichtung in ihrem wirtschaftlichen Bestand gefährdet. Die Befreiung von den Pflichten nach § 11 kann nur befristet erteilt werden.</w:t>
      </w:r>
    </w:p>
    <w:p>
      <w:r>
        <w:rPr>
          <w:color w:val="555555"/>
          <w:sz w:val="17"/>
        </w:rPr>
        <w:t xml:space="preserve">Zitiervorschlag: § 21 HeimsicherungsV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https://recht.nulegal.eu/gesetze/HeimsicherungsV/21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