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HeimPersV — Ordnungswidrigkeiten</w:t>
      </w:r>
    </w:p>
    <w:p>
      <w:r>
        <w:rPr>
          <w:color w:val="555555"/>
          <w:sz w:val="18"/>
        </w:rPr>
        <w:t xml:space="preserve">Heimpersonalverordnung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17 Abs. 2 Nr. 1 des Heimgesetzes handelt, wer vorsätzlich oder fahrlässig</w:t>
      </w:r>
    </w:p>
    <w:p>
      <w:pPr>
        <w:ind w:left="420"/>
      </w:pPr>
      <w:r>
        <w:t xml:space="preserve">1. entgegen § 1 in Verbindung mit § 2 Abs. 2 Nr. 1 oder § 3 Abs. 1 Satz 2 Nr. 1 Buchstabe a und b oder</w:t>
      </w:r>
    </w:p>
    <w:p>
      <w:pPr>
        <w:ind w:left="420"/>
      </w:pPr>
      <w:r>
        <w:t xml:space="preserve">2. entgegen § 1 in Verbindung mit § 4 Abs. 2 Satz 1 oder § 4 Abs. 2 Satz 2 in Verbindung mit § 3 Abs. 1 Satz 2 Nr. 1 Buchstabe a und b</w:t>
      </w:r>
    </w:p>
    <w:p>
      <w:r>
        <w:t xml:space="preserve">Personen beschäftigt oder</w:t>
      </w:r>
    </w:p>
    <w:p>
      <w:pPr>
        <w:ind w:left="420"/>
      </w:pPr>
      <w:r>
        <w:t xml:space="preserve">3. entgegen § 1 in Verbindung mit § 5 Abs. 1 Satz 1 betreuende Tätigkeiten nicht durch Fachkräfte oder unter angemessener Beteiligung von Fachkräften wahrnehmen läßt, die die Mindestanforderungen nach § 6 erfüllen.</w:t>
      </w:r>
    </w:p>
    <w:p>
      <w:r>
        <w:rPr>
          <w:color w:val="555555"/>
          <w:sz w:val="17"/>
        </w:rPr>
        <w:t xml:space="preserve">Zitiervorschlag: § 9 HeimPersV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https://recht.nulegal.eu/gesetze/HeimPersV/9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