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HeimPersV — Fort- und Weiterbildung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Träger des Heims ist verpflichtet, dem Leiter des Heims und den Beschäftigten Gelegenheit zur Teilnahme an Veranstaltungen berufsbegleitender Fort- und Weiterbildung zu geben. Mehrjährig Beschäftigten, die die Anforderungen des § 6 nicht erfüllen, ist Gelegenheit zur Nachqualifizierung zu geben.</w:t>
      </w:r>
    </w:p>
    <w:p>
      <w:r>
        <w:t xml:space="preserve">(2) Die Verpflichtung nach Absatz 1 besteht nur, wenn sich die Veranstaltungen insbesondere auf folgende Funktionen und Tätigkeitsfelder erstrecken:</w:t>
      </w:r>
    </w:p>
    <w:p>
      <w:pPr>
        <w:ind w:left="420"/>
      </w:pPr>
      <w:r>
        <w:t xml:space="preserve">1. Heimleitung,</w:t>
      </w:r>
    </w:p>
    <w:p>
      <w:pPr>
        <w:ind w:left="420"/>
      </w:pPr>
      <w:r>
        <w:t xml:space="preserve">2. Wohnbereichs- und Pflegedienstleistung sowie entsprechende Leitungsaufgaben,</w:t>
      </w:r>
    </w:p>
    <w:p>
      <w:pPr>
        <w:ind w:left="420"/>
      </w:pPr>
      <w:r>
        <w:t xml:space="preserve">3. Rehabilitation und Eingliederung sowie Förderung und Betreuung Behinderter,</w:t>
      </w:r>
    </w:p>
    <w:p>
      <w:pPr>
        <w:ind w:left="420"/>
      </w:pPr>
      <w:r>
        <w:t xml:space="preserve">4. Förderung selbständiger und selbstverantworteter Lebensgestaltung,</w:t>
      </w:r>
    </w:p>
    <w:p>
      <w:pPr>
        <w:ind w:left="420"/>
      </w:pPr>
      <w:r>
        <w:t xml:space="preserve">5. aktivierende Betreuung und Pflege,</w:t>
      </w:r>
    </w:p>
    <w:p>
      <w:pPr>
        <w:ind w:left="420"/>
      </w:pPr>
      <w:r>
        <w:t xml:space="preserve">6. Pflegekonzepte, Pflegeplanung und Pflegedokumentation,</w:t>
      </w:r>
    </w:p>
    <w:p>
      <w:pPr>
        <w:ind w:left="420"/>
      </w:pPr>
      <w:r>
        <w:t xml:space="preserve">7. Arbeit mit verwirrten Bewohnern,</w:t>
      </w:r>
    </w:p>
    <w:p>
      <w:pPr>
        <w:ind w:left="420"/>
      </w:pPr>
      <w:r>
        <w:t xml:space="preserve">8. Zusammenarbeit mit anderen Berufsgruppen sowie mit Einrichtungen und Diensten des Sozial- und Gesundheitswesens,</w:t>
      </w:r>
    </w:p>
    <w:p>
      <w:pPr>
        <w:ind w:left="420"/>
      </w:pPr>
      <w:r>
        <w:t xml:space="preserve">9. Praxisanleitung,</w:t>
      </w:r>
    </w:p>
    <w:p>
      <w:pPr>
        <w:ind w:left="420"/>
      </w:pPr>
      <w:r>
        <w:t xml:space="preserve">10. Sterbebegleitung,</w:t>
      </w:r>
    </w:p>
    <w:p>
      <w:pPr>
        <w:ind w:left="420"/>
      </w:pPr>
      <w:r>
        <w:t xml:space="preserve">11. rechtliche Grundlagen der fachlichen Arbeit,</w:t>
      </w:r>
    </w:p>
    <w:p>
      <w:pPr>
        <w:ind w:left="420"/>
      </w:pPr>
      <w:r>
        <w:t xml:space="preserve">12. konzeptionelle Weiterentwicklung der Altenhilfe und der Eingliederungshilfe für Behinderte.</w:t>
      </w:r>
    </w:p>
    <w:p>
      <w:r>
        <w:rPr>
          <w:color w:val="555555"/>
          <w:sz w:val="17"/>
        </w:rPr>
        <w:t xml:space="preserve">Zitiervorschlag: § 8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