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HeimPersV — Eignung der Beschäftigten</w:t>
      </w:r>
    </w:p>
    <w:p>
      <w:r>
        <w:rPr>
          <w:color w:val="555555"/>
          <w:sz w:val="18"/>
        </w:rPr>
        <w:t xml:space="preserve">Heimpersonalverordnung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Beschäftigte in Heimen müssen die erforderliche persönliche und fachliche Eignung für die von ihnen ausgeübte Funktion und Tätigkeit besitzen.</w:t>
      </w:r>
    </w:p>
    <w:p>
      <w:r>
        <w:t xml:space="preserve">(2) Als Leiter des Pflegedienstes ist geeignet, wer eine Ausbildung zu einer Fachkraft im Gesundheits- oder Sozialwesen mit staatlich anerkanntem Abschluß nachweisen kann. § 2 Abs. 2 Nr. 2, § 3 Abs. 1 Satz 2 Nr. 1 gelten entsprechend.</w:t>
      </w:r>
    </w:p>
    <w:p>
      <w:r>
        <w:rPr>
          <w:color w:val="555555"/>
          <w:sz w:val="17"/>
        </w:rPr>
        <w:t xml:space="preserve">Zitiervorschlag: § 4 HeimPersV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https://recht.nulegal.eu/gesetze/HeimPersV/4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