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HeimPersV — Persönliche Ausschlußgründe</w:t>
      </w:r>
    </w:p>
    <w:p>
      <w:r>
        <w:rPr>
          <w:color w:val="555555"/>
          <w:sz w:val="18"/>
        </w:rPr>
        <w:t xml:space="preserve">Heimpersonalverordnung</w:t>
      </w:r>
    </w:p>
    <w:p>
      <w:r>
        <w:rPr>
          <w:color w:val="555555"/>
          <w:sz w:val="18"/>
        </w:rPr>
        <w:t xml:space="preserve">Stand: 10.06.2019 (konsolidierte Textfassung, kein amtliches Inkrafttretensdatum)</w:t>
      </w:r>
    </w:p>
    <w:p>
      <w:r>
        <w:t xml:space="preserve">(1) In der Person des Heimleiters dürfen keine Tatsachen vorliegen, die die Annahme rechtfertigen, daß er für die Leitung eines Heims ungeeignet ist. Ungeeignet ist insbesondere,</w:t>
      </w:r>
    </w:p>
    <w:p>
      <w:pPr>
        <w:ind w:left="420"/>
      </w:pPr>
      <w:r>
        <w:t xml:space="preserve">1. wer</w:t>
      </w:r>
    </w:p>
    <w:p>
      <w:pPr>
        <w:ind w:left="780"/>
      </w:pPr>
      <w:r>
        <w:t xml:space="preserve">a) wegen eines Verbrechens oder wegen einer Straftat gegen das Leben, die sexuelle Selbstbestimmung oder die persönliche Freiheit, wegen vorsätzlicher Körperverletzung, wegen Erpressung, Urkundenfälschung, Untreue, Diebstahls, Unterschlagung, Betrugs oder Hehlerei oder wegen einer gemeingefährlichen Straftat oder einer Konkursstraftat zu einer Freiheitsstrafe oder Ersatzfreiheitsstrafe von mindestens drei Monaten, sofern die Tilgung im Zentralregister noch nicht erledigt ist,</w:t>
      </w:r>
    </w:p>
    <w:p>
      <w:pPr>
        <w:ind w:left="780"/>
      </w:pPr>
      <w:r>
        <w:t xml:space="preserve">b) in den letzten fünf Jahren, längstens jedoch bis zum Eintritt der Tilgungsreife der Eintragung der Verurteilung im Zentralregister, wegen einer Straftat nach den §§ 29 bis 30b des Betäubungsmittelgesetzes oder wegen einer sonstigen Straftat, die befürchten läßt, daß er die Vorschriften des Heimgesetzes oder eine auf Grund dieses Gesetzes erlassene Rechtsverordnung nicht beachten wird,</w:t>
      </w:r>
    </w:p>
    <w:p>
      <w:pPr>
        <w:ind w:left="420"/>
      </w:pPr>
      <w:r>
        <w:t xml:space="preserve">rechtskräftig verurteilt worden ist,</w:t>
      </w:r>
    </w:p>
    <w:p>
      <w:pPr>
        <w:ind w:left="420"/>
      </w:pPr>
      <w:r>
        <w:t xml:space="preserve">2. derjenige, gegen den wegen einer Ordnungswidrigkeit nach § 17 des Heimgesetzes mehr als zweimal eine Geldbuße rechtskräftig festgesetzt worden ist, soweit nicht fünf Jahre seit Rechtskraft des letzten Bußgeldbescheids vergangen sind.</w:t>
      </w:r>
    </w:p>
    <w:p>
      <w:r>
        <w:t xml:space="preserve">(2) Absatz 1 Satz 2 gilt nicht für Straftaten und Ordnungswidrigkeiten, die vor Inkrafttreten der Verordnung begangen worden sind. Absatz 1 Satz 1 bleibt unberührt.</w:t>
      </w:r>
    </w:p>
    <w:p>
      <w:r>
        <w:rPr>
          <w:color w:val="555555"/>
          <w:sz w:val="17"/>
        </w:rPr>
        <w:t xml:space="preserve">Zitiervorschlag: § 3 HeimPersV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https://recht.nulegal.eu/gesetze/HeimPersV/3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