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HeimPersV — Inkrafttreten</w:t>
      </w:r>
    </w:p>
    <w:p>
      <w:r>
        <w:rPr>
          <w:color w:val="555555"/>
          <w:sz w:val="18"/>
        </w:rPr>
        <w:t xml:space="preserve">Heimpersonalverordnung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Tage des auf die Verkündung folgenden dritten Kalendermonats in Kraft.</w:t>
      </w:r>
    </w:p>
    <w:p>
      <w:r>
        <w:rPr>
          <w:color w:val="555555"/>
          <w:sz w:val="17"/>
        </w:rPr>
        <w:t xml:space="preserve">Zitiervorschlag: § 13 HeimPersV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https://recht.nulegal.eu/gesetze/HeimPersV/13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