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HeimPersV — Befreiungen</w:t>
      </w:r>
    </w:p>
    <w:p>
      <w:r>
        <w:rPr>
          <w:color w:val="555555"/>
          <w:sz w:val="18"/>
        </w:rPr>
        <w:t xml:space="preserve">Heimpersonalverordnung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kann dem Träger eines Heims aus wichtigem Grund Befreiung von den in den § 2 Abs. 2 Nr. 1, § 4 Abs. 1 und Abs. 2 in Verbindung mit § 2 Abs. 2 Nr. 1 genannten Mindestanforderungen erteilen, wenn die Befreiung mit den Interessen und Bedürfnissen der Bewohner vereinbar ist.</w:t>
      </w:r>
    </w:p>
    <w:p>
      <w:r>
        <w:t xml:space="preserve">(2) Die Befreiung kann sich auf einzelne Anforderungen erstrecken und neben der Verpflichtung zur Angleichung an andere Anforderungen ausgesprochen werden.</w:t>
      </w:r>
    </w:p>
    <w:p>
      <w:r>
        <w:t xml:space="preserve">(3) Die Befreiung wird auf Antrag des Trägers erteilt. Der Träger ist bis zur Entscheidung über den Antrag von der Verpflichtung zur Angleichung vorläufig befreit.</w:t>
      </w:r>
    </w:p>
    <w:p>
      <w:r>
        <w:rPr>
          <w:color w:val="555555"/>
          <w:sz w:val="17"/>
        </w:rPr>
        <w:t xml:space="preserve">Zitiervorschlag: § 11 HeimPersV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https://recht.nulegal.eu/gesetze/HeimPersV/11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