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HeimPersV — Übergangsregelungen</w:t>
      </w:r>
    </w:p>
    <w:p>
      <w:r>
        <w:rPr>
          <w:color w:val="555555"/>
          <w:sz w:val="18"/>
        </w:rPr>
        <w:t xml:space="preserve">Heimpersonalverordnung</w:t>
      </w:r>
    </w:p>
    <w:p>
      <w:r>
        <w:rPr>
          <w:color w:val="555555"/>
          <w:sz w:val="18"/>
        </w:rPr>
        <w:t xml:space="preserve">Stand: 10.06.2019 (konsolidierte Textfassung, kein amtliches Inkrafttretensdatum)</w:t>
      </w:r>
    </w:p>
    <w:p>
      <w:r>
        <w:t xml:space="preserve">(1) Sind bei Inkrafttreten dieser Verordnung die in § 2 Abs. 2 Nr. 2, §§ 4 bis 7 genannten Mindestanforderungen nicht erfüllt, so kann die zuständige Behörde auf Antrag des Heimträgers angemessene Fristen zur Angleichung an die einzelnen Anforderungen einräumen. Die Fristen dürfen fünf Jahre vom Inkrafttreten der Verordnung an nicht überschreiten. Der Träger ist bis zur Entscheidung über den Antrag von der Verpflichtung zur Angleichung vorläufig befreit.</w:t>
      </w:r>
    </w:p>
    <w:p>
      <w:r>
        <w:t xml:space="preserve">(2) Werden am 1. Oktober 1998 die Voraussetzungen des § 5 Abs. 1 Satz 2 nicht erfüllt, kann die zuständige Behörde auf Antrag des Heimträgers eine angemessene Frist zur Angleichung, längstens bis zum 30. September 2000, einräumen. Absatz 1 Satz 3 gilt entsprechend.</w:t>
      </w:r>
    </w:p>
    <w:p>
      <w:r>
        <w:t xml:space="preserve">(3) Wer ein Heim bei Inkrafttreten dieser Verordnung leitet, ohne die Anforderungen des § 2 Abs. 2 Nr. 1 zu erfüllen, kann das Heim bis zum Ablauf von drei Jahren nach Inkrafttreten der Verordnung weiterhin leiten. Nach diesem Zeitpunkt kann er nur dann Heimleiter sein, wenn er bis dahin nachweisbar an einer Bildungsmaßnahme, die wesentliche Kenntnisse und Fähigkeiten für die Leitung eines Heims vermittelt, erfolgreich teilgenommen hat. Eine entsprechende Bildungsmaßnahme vor Inkrafttreten dieser Verordnung ist zu berücksichtigen.</w:t>
      </w:r>
    </w:p>
    <w:p>
      <w:r>
        <w:t xml:space="preserve">(4) Absatz 2 gilt nicht für Heimleiter, die ein Heim bei Inkrafttreten dieser Verordnung seit mindestens fünf Jahren ununterbrochen leiten.</w:t>
      </w:r>
    </w:p>
    <w:p>
      <w:r>
        <w:rPr>
          <w:color w:val="555555"/>
          <w:sz w:val="17"/>
        </w:rPr>
        <w:t xml:space="preserve">Zitiervorschlag: § 10 HeimPersV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https://recht.nulegal.eu/gesetze/HeimPersV/10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