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HeimMitwirkungsV — Beendigung der Tätigkeit</w:t>
      </w:r>
    </w:p>
    <w:p>
      <w:r>
        <w:rPr>
          <w:color w:val="555555"/>
          <w:sz w:val="18"/>
        </w:rPr>
        <w:t xml:space="preserve">Heimmitwirkungsverordnung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Tätigkeit des Heimfürsprechers endet mit</w:t>
      </w:r>
    </w:p>
    <w:p>
      <w:pPr>
        <w:ind w:left="420"/>
      </w:pPr>
      <w:r>
        <w:t xml:space="preserve">1. Ablauf seiner Amtszeit,</w:t>
      </w:r>
    </w:p>
    <w:p>
      <w:pPr>
        <w:ind w:left="420"/>
      </w:pPr>
      <w:r>
        <w:t xml:space="preserve">2. Aufhebung seiner Bestellung durch die zuständige Behörde nach § 26.</w:t>
      </w:r>
    </w:p>
    <w:p>
      <w:r>
        <w:rPr>
          <w:color w:val="555555"/>
          <w:sz w:val="17"/>
        </w:rPr>
        <w:t xml:space="preserve">Zitiervorschlag: § 27 HeimMitwirkungsV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https://recht.nulegal.eu/gesetze/HeimMitwirkungsV/27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