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HeimMitwirkungsV — Benachteiligungs- und Begünstigungsverbot</w:t>
      </w:r>
    </w:p>
    <w:p>
      <w:r>
        <w:rPr>
          <w:color w:val="555555"/>
          <w:sz w:val="18"/>
        </w:rPr>
        <w:t xml:space="preserve">Heimmitwirkungsverordnung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des Heimbeirates dürfen bei der Erfüllung ihrer Aufgaben nicht behindert und wegen ihrer Tätigkeit nicht benachteiligt oder begünstigt werden.</w:t>
      </w:r>
    </w:p>
    <w:p>
      <w:r>
        <w:t xml:space="preserve">(2) Eine Bewohnerin oder ein Bewohner darf aufgrund der Tätigkeit eines Angehörigen oder einer Vertrauensperson im Heimbeirat nicht benachteiligt oder begünstigt werden.</w:t>
      </w:r>
    </w:p>
    <w:p>
      <w:r>
        <w:rPr>
          <w:color w:val="555555"/>
          <w:sz w:val="17"/>
        </w:rPr>
        <w:t xml:space="preserve">Zitiervorschlag: § 23 HeimMitwirkungsV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https://recht.nulegal.eu/gesetze/HeimMitwirkungsV/23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