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HeimMindBauV — Beleuchtung</w:t>
      </w:r>
    </w:p>
    <w:p>
      <w:r>
        <w:rPr>
          <w:color w:val="555555"/>
          <w:sz w:val="18"/>
        </w:rPr>
        <w:t xml:space="preserve">Heimmindestbauverordnung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Lichtschalter müssen ohne Schwierigkeit zu bedienen sein.</w:t>
      </w:r>
    </w:p>
    <w:p>
      <w:r>
        <w:t xml:space="preserve">(2) In Treppenräumen und Fluren muß bei Dunkelheit die Nachtbeleuchtung in Betrieb sein.</w:t>
      </w:r>
    </w:p>
    <w:p>
      <w:r>
        <w:t xml:space="preserve">(3) In Wohn-, Schlaf- und Gemeinschaftsräumen müssen Anschlüsse zum Betrieb von Leselampen vorhanden sein. In Schlafräumen müssen diese Anschlüsse den Betten zugeordnet sein.</w:t>
      </w:r>
    </w:p>
    <w:p>
      <w:r>
        <w:rPr>
          <w:color w:val="555555"/>
          <w:sz w:val="17"/>
        </w:rPr>
        <w:t xml:space="preserve">Zitiervorschlag: § 6 HeimMindBauV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https://recht.nulegal.eu/gesetze/HeimMindBauV/6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