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HeimMindBauV — Aufzüge</w:t>
      </w:r>
    </w:p>
    <w:p>
      <w:r>
        <w:rPr>
          <w:color w:val="555555"/>
          <w:sz w:val="18"/>
        </w:rPr>
        <w:t xml:space="preserve">Heimmindestbauverordnung</w:t>
      </w:r>
    </w:p>
    <w:p>
      <w:r>
        <w:rPr>
          <w:color w:val="555555"/>
          <w:sz w:val="18"/>
        </w:rPr>
        <w:t xml:space="preserve">Stand: 10.06.2019 (konsolidierte Textfassung, kein amtliches Inkrafttretensdatum)</w:t>
      </w:r>
    </w:p>
    <w:p>
      <w:r>
        <w:t xml:space="preserve">In Einrichtungen, in denen bei regelmäßiger Benutzung durch die Bewohner mehr als eine Geschoßhöhe zu überwinden ist oder in denen Rollstuhlbenutzer in nicht stufenlos zugänglichen Geschossen untergebracht sind, muß mindestens ein Aufzug vorhanden sein. Art, Größe und Ausstattung des Aufzugs müssen den Bedürfnissen der Bewohner entsprechen.</w:t>
      </w:r>
    </w:p>
    <w:p>
      <w:r>
        <w:rPr>
          <w:color w:val="555555"/>
          <w:sz w:val="17"/>
        </w:rPr>
        <w:t xml:space="preserve">Zitiervorschlag: § 4 HeimMindBauV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https://recht.nulegal.eu/gesetze/HeimMindBauV/4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