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34 HeimMindBauV — Berlin-Klausel</w:t>
      </w:r>
    </w:p>
    <w:p>
      <w:r>
        <w:rPr>
          <w:color w:val="555555"/>
          <w:sz w:val="18"/>
        </w:rPr>
        <w:t xml:space="preserve">Heimmindestbauverordnung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gilt nach § 14 des Dritten Überleitungsgesetzes in Verbindung mit § 24 des Heimgesetzes auch im Land Berlin.</w:t>
      </w:r>
    </w:p>
    <w:p>
      <w:r>
        <w:rPr>
          <w:color w:val="555555"/>
          <w:sz w:val="17"/>
        </w:rPr>
        <w:t xml:space="preserve">Zitiervorschlag: § 34 HeimMindBauV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https://recht.nulegal.eu/gesetze/HeimMindBauV/34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