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HeimMindBauV — Ordnungswidrigkeiten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17 Abs. 2 Nr. 1 des Heimgesetzes handelt, wer vorsätzlich oder fahrlässig entgegen § 1 eine Einrichtung betreibt, in der</w:t>
      </w:r>
    </w:p>
    <w:p>
      <w:pPr>
        <w:ind w:left="420"/>
      </w:pPr>
      <w:r>
        <w:t xml:space="preserve">1. die Mindestanforderungen an die Wohnplätze nach § 2, § 14 Abs. 1 oder 3 oder § 19 Abs. 1 oder 2 oder die Mindestanforderungen an die Pflegeplätze nach den §§ 2 oder 23 Abs. 1 nicht erfüllt sind,</w:t>
      </w:r>
    </w:p>
    <w:p>
      <w:pPr>
        <w:ind w:left="420"/>
      </w:pPr>
      <w:r>
        <w:t xml:space="preserve">2. Rufanlagen nach § 7 oder Fernsprecher nach § 8 nicht vorhanden sind,</w:t>
      </w:r>
    </w:p>
    <w:p>
      <w:pPr>
        <w:ind w:left="420"/>
      </w:pPr>
      <w:r>
        <w:t xml:space="preserve">3. die Wohn-, Schlaf- oder Sanitärräume entgegen § 9 Abs. 1 im Notfall nicht von außen zugänglich sind,</w:t>
      </w:r>
    </w:p>
    <w:p>
      <w:pPr>
        <w:ind w:left="420"/>
      </w:pPr>
      <w:r>
        <w:t xml:space="preserve">4. die Funktions- und Zubehörräume oder sanitären Anlagen nach § 15 Abs. 1 Nr. 2 oder 4, § 18 Abs. 1 oder 2, § 21, § 22, § 24 Abs. 1 oder § 27 Abs. 1 bis 3 nicht vorhanden sind,</w:t>
      </w:r>
    </w:p>
    <w:p>
      <w:pPr>
        <w:ind w:left="420"/>
      </w:pPr>
      <w:r>
        <w:t xml:space="preserve">5. die Gemeinschaftsräume nach § 16 Abs. 1, § 20 Abs. 1 oder § 25 Satz 1 nicht vorhanden sind,</w:t>
      </w:r>
    </w:p>
    <w:p>
      <w:pPr>
        <w:ind w:left="420"/>
      </w:pPr>
      <w:r>
        <w:t xml:space="preserve">6. die Therapieräume nach § 17 oder § 26 nicht vorhanden sind.</w:t>
      </w:r>
    </w:p>
    <w:p>
      <w:r>
        <w:rPr>
          <w:color w:val="555555"/>
          <w:sz w:val="17"/>
        </w:rPr>
        <w:t xml:space="preserve">Zitiervorschlag: § 32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