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HeimMindBauV — Einrichtungen für behinderte Volljährige</w:t>
      </w:r>
    </w:p>
    <w:p>
      <w:r>
        <w:rPr>
          <w:color w:val="555555"/>
          <w:sz w:val="18"/>
        </w:rPr>
        <w:t xml:space="preserve">Heimmindestbauverordnung</w:t>
      </w:r>
    </w:p>
    <w:p>
      <w:r>
        <w:rPr>
          <w:color w:val="555555"/>
          <w:sz w:val="18"/>
        </w:rPr>
        <w:t xml:space="preserve">Stand: 10.06.2019 (konsolidierte Textfassung, kein amtliches Inkrafttretensdatum)</w:t>
      </w:r>
    </w:p>
    <w:p>
      <w:r>
        <w:t xml:space="preserve">(1) In Einrichtungen für behinderte Volljährige sind bei der Anwendung der Verordnung die besonderen Bedürfnisse der Bewohner, die sich insbesondere aus Art und Schwere der Behinderungen ergeben, zu berücksichtigen. Von Anforderungen der Verordnung kann insoweit abgewichen werden.</w:t>
      </w:r>
    </w:p>
    <w:p>
      <w:r>
        <w:t xml:space="preserve">(2) Als gleichartige Einrichtungen im Sinne des ersten und zweiten Abschnitts des zweiten Teils der Verordnung gelten auch Einrichtungen für behinderte Volljährige.</w:t>
      </w:r>
    </w:p>
    <w:p>
      <w:r>
        <w:rPr>
          <w:color w:val="555555"/>
          <w:sz w:val="17"/>
        </w:rPr>
        <w:t xml:space="preserve">Zitiervorschlag: § 29 HeimMindBauV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https://recht.nulegal.eu/gesetze/HeimMindBauV/29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