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HeimMindBauV — Therapieräume</w:t>
      </w:r>
    </w:p>
    <w:p>
      <w:r>
        <w:rPr>
          <w:color w:val="555555"/>
          <w:sz w:val="18"/>
        </w:rPr>
        <w:t xml:space="preserve">Heimmindestbauverordnung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17 gilt entsprechend.</w:t>
      </w:r>
    </w:p>
    <w:p>
      <w:r>
        <w:rPr>
          <w:color w:val="555555"/>
          <w:sz w:val="17"/>
        </w:rPr>
        <w:t xml:space="preserve">Zitiervorschlag: § 26 HeimMindBauV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https://recht.nulegal.eu/gesetze/HeimMindBauV/26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