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25 HeimMindBauV — Gemeinschaftsräume</w:t>
      </w:r>
    </w:p>
    <w:p>
      <w:r>
        <w:rPr>
          <w:color w:val="555555"/>
          <w:sz w:val="18"/>
        </w:rPr>
        <w:t xml:space="preserve">Heimmindestbauverordnung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§ 20 Abs. 1 gilt entsprechend. Die Nutzflächen müssen jedoch so angelegt sein, daß auch Bettlägerige an Veranstaltungen und Zusammenkünften teilnehmen können.</w:t>
      </w:r>
    </w:p>
    <w:p>
      <w:r>
        <w:rPr>
          <w:color w:val="555555"/>
          <w:sz w:val="17"/>
        </w:rPr>
        <w:t xml:space="preserve">Zitiervorschlag: § 25 HeimMindBauV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https://recht.nulegal.eu/gesetze/HeimMindBauV/25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