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HeimMindBauV — Funktions- und Zubehörräume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Funktions- und Zubehörräume müssen in ausreichender Zahl vorhanden und den Besonderheiten der Pflegebedürftigkeit angepaßt sein.</w:t>
      </w:r>
    </w:p>
    <w:p>
      <w:r>
        <w:t xml:space="preserve">(2) § 15 Abs. 1 Nr. 2 bis 4, Abs. 2 in Verbindung mit Abs. 1 Nr. 3 gilt entsprechend. Außerdem müssen Schmutzräume und Fäkalienspülen in erforderlicher Zahl vorhanden sein.</w:t>
      </w:r>
    </w:p>
    <w:p>
      <w:r>
        <w:rPr>
          <w:color w:val="555555"/>
          <w:sz w:val="17"/>
        </w:rPr>
        <w:t xml:space="preserve">Zitiervorschlag: § 24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